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244</w:t>
      </w:r>
    </w:p>
    <w:p>
      <w:r>
        <w:t>Bundesgericht (BGE), 2004-11-09, DE</w:t>
      </w:r>
    </w:p>
    <w:p>
      <w:r>
        <w:rPr>
          <w:b/>
        </w:rPr>
        <w:t xml:space="preserve">Quelle: </w:t>
      </w:r>
      <w:r>
        <w:t>https://mcp.opencaselaw.ch/entscheid/bge_134 II 244</w:t>
      </w:r>
    </w:p>
    <w:p>
      <w:r>
        <w:t>FR: ATF 134 II 244</w:t>
      </w:r>
    </w:p>
    <w:p>
      <w:r>
        <w:t>IT: DTF 134 II 244</w:t>
      </w:r>
    </w:p>
    <w:p>
      <w:pPr>
        <w:pStyle w:val="Heading2"/>
      </w:pPr>
      <w:r>
        <w:t>Regeste</w:t>
      </w:r>
    </w:p>
    <w:p>
      <w:r>
        <w:t>Regeste Nichteintreten auf eine ungenügend begründete Beschwerde (Art. 42 Abs. 2 BGG). Art. 42 Abs. 2 BGG setzt voraus, dass sich der Beschwerdeführer wenigstens kurz mit den Erwägungen des angefochtenen Entscheids auseinandersetzt. Dies ist nicht der Fall, wenn vor Bundesgericht dieselbe Beschwerdebegründung eingereicht wird wie schon im kantonalen Verfahren (E. 2.1-2.3). Kein Anspruch auf Nachfristansetzung nach Art. 42 Abs. 5 oder 6 BGG oder nach allgemeinen Grundsätzen (E. 2.4).</w:t>
      </w:r>
    </w:p>
    <w:p>
      <w:pPr>
        <w:pStyle w:val="Heading2"/>
      </w:pPr>
      <w:r>
        <w:t>Erwägungen</w:t>
      </w:r>
    </w:p>
    <w:p>
      <w:r>
        <w:rPr>
          <w:b/>
        </w:rPr>
        <w:t>E. 2</w:t>
      </w:r>
    </w:p>
    <w:p>
      <w:r>
        <w:t>Näher zu prüfen ist, ob die Beschwerde den Begründungsanforderungen entspricht.</w:t>
      </w:r>
    </w:p>
    <w:p>
      <w:r>
        <w:rPr>
          <w:b/>
        </w:rPr>
        <w:t>E. 2.1</w:t>
      </w:r>
    </w:p>
    <w:p>
      <w:r>
        <w:t>Nach Art. 42 Abs. 2 BGG ist in der Begründung in gedrängter Form darzulegen, inwiefern der angefochtene Akt Recht verletzt. Dies setzt voraus, dass sich der Beschwerdeführer wenigstens kurz mit den Erwägungen des angefochtenen Entscheids BGE 134 II 244 S. 246 auseinandersetzt. Genügt die Beschwerdeschrift diesen Begründungsanforderungen nicht, so ist darauf nicht einzutreten, bei offensichtlichen Begründungsmängeln im vereinfachten Verfahren gemäss Art. 108 Abs. 1 lit. b BGG .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rPr>
          <w:b/>
        </w:rPr>
        <w:t>E. 2.2</w:t>
      </w:r>
    </w:p>
    <w:p>
      <w:r>
        <w:t>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2.3</w:t>
      </w:r>
    </w:p>
    <w:p>
      <w:r>
        <w:t>Die beim Bundesgericht eingereichte Beschwerdebegründung unterscheidet sich nur in wenigen untergeordneten Punkten von derjenigen, welche der Rechtsvertreter der Beschwerdeführer vor Verwaltungsgericht eingereicht hatte: An einer Stelle wurden zwei Sätze hinzugefügt (S. 11 Ziff. 6: "Überall [...] erkannt werden") und an einer anderen Stelle ein Satz weggelassen (S. 48 Ziff. 73 a.E.); in Ziff. 66 (S. 45/46) und Ziff. 75 (S. 50) wurden gewisse Zusätze aufgenommen (z.B. "in Verletzung der einschlägigen gesetzlichen und verfassungsrechtlichen Bestimmungen, namentlich Art. 29 BV und Art. 6 Ziff. 1 EMRK "). An einigen Stellen finden sich redaktionelle Anpassungen (z.B. "Vorinstanzen" statt "Baurekurskommission"). Am Ende der Ausführungen zum angeblich willkürlichen BGE 134 II 244 S. 247 Kostenentscheid der Baurekurskommission (Ziff. 75 S. 51 f.) wurde der Satz angefügt: "Dasselbe gilt analog für das verwaltungsgerichtliche Verfahren". Im Übrigen deckt sich die Beschwerdebegründung wortwörtlich mit der schon vor Verwaltungsgericht eingereichten. Sie setzt sich in keiner Weise mit den Erwägungen des Verwaltungsgerichts auseinander und legt nicht - auch nicht in gedrängter Form - dar, inwiefern diese Bundesrecht verletzen. Insofern genügt die Beschwerdeschrift schon den Mindestanforderungen gemäss Art. 42 Abs. 2 BGG nicht. Erst recht sind die strengeren Begründungsanforderungen von Art. 106 Abs. 2 BGG nicht erfüllt, soweit Sachverhalts- und Verfassungsrügen erhoben werden.</w:t>
      </w:r>
    </w:p>
    <w:p>
      <w:r>
        <w:rPr>
          <w:b/>
        </w:rPr>
        <w:t>E. 2.4</w:t>
      </w:r>
    </w:p>
    <w:p>
      <w:r>
        <w:t>Zu prüfen ist, ob den Beschwerdeführern eine Nachfrist zur Verbesserung ihrer Beschwerde einzuräumen ist.</w:t>
      </w:r>
    </w:p>
    <w:p>
      <w:r>
        <w:rPr>
          <w:b/>
        </w:rPr>
        <w:t>E. 2.4.1</w:t>
      </w:r>
    </w:p>
    <w:p>
      <w:r>
        <w:t>Die Beschwerdeführer haben beantragt, ihnen sei nach Zustellung sämtlicher Akten bezüglich der Mobilfunkanlage Y.-Strasse 5, insbesondere aller Baubewilligungsakten der Stadt Zürich, Gelegenheit zur Beschwerdeergänzung einzuräumen. Sie legen allerdings nicht dar, weshalb sie diese Akten im kantonalen Verfahren nicht einsehen konnten bzw. weshalb sie auf eine erneute Einsichtnahme angewiesen sind, um ihre Beschwerdeschrift zu vervollständigen. Der Antrag ist daher abzuweisen.</w:t>
      </w:r>
    </w:p>
    <w:p>
      <w:r>
        <w:rPr>
          <w:b/>
        </w:rPr>
        <w:t>E. 2.4.2</w:t>
      </w:r>
    </w:p>
    <w:p>
      <w:r>
        <w:t>Eine Nachfristansetzung zur Ergänzung der Beschwerdebegründung ist auch nicht nach Art. 42 BGG oder nach allgemeinen Grundsätzen geboten. Gemäss Art. 42 Abs. 5 BGG wird beim Fehlen von Unterschriften, Vollmachten und vergleichbaren formellen Mängeln eine angemessene Frist zur Behebung des Mangels angesetzt mit der Androhung, dass die Rechtsschrift sonst unbeachtet bleibt. Sodann können unverständliche Rechtsschriften gemäss Art. 42 Abs. 6 BGG in gleicher Weise zur Änderung zurückgewiesen werden. Nicht genannt werden in diesen Bestimmungen Beschwerden, die (offensichtlich) nicht hinreichend begründet sind. Auf diese ist vielmehr nicht einzutreten, wie sich klar aus Art. 108 Abs. 1 lit. b BGG ergibt. Der in Art. 42 Abs. 5 BGG (vorher: Art. 30 Abs. 2 OG ) enthaltene Anspruch des Rechtsuchenden auf eine Nachfristansetzung ist Ausdruck eines aus dem Verbot des überspitzten Formalismus fliessenden allgemeinen prozessualen Rechtsgrundsatzes ( BGE 120 V 413 E. 6a BGE 134 II 244 S. 248 S. 419 f.; Urteil 1P.254/2005 vom 30. August 2005, E. 2.5, publ. in: Pra 95/2006 Nr. 51 S. 362). Wie das Bundesgericht immer wieder betont, stellt nicht jede prozessuale Formstrenge einen überspitzten Formalismus dar, sondern nur jene, die durch kein schutzwürdiges Interesse mehr gerechtfertigt ist und zum blossen Selbstzweck wird. Prozessuale Formen sind unerlässlich, um die ordnungsgemässe Abwicklung des Verfahrens sowie die Durchsetzung des materiellen Rechts zu gewährleisten ( BGE 118 V 311 E. 4 S. 315; BGE 114 Ia 34 E. 3 S. 40). Eingaben an Behörden, vor allem Rechtsmittelschriften, haben daher im Allgemeinen bestimmten formellen Anforderungen zu genügen: Es soll aus ihnen hervorgehen, dass und weshalb der Rechtsuchende einen Entscheid anficht und inwieweit dieser geändert oder aufgehoben werden soll. Wird daher die Gültigkeit eines Rechtsmittels kraft ausdrücklicher gesetzlicher Bestimmung davon abhängig gemacht, dass es eine minimale Begründung enthält, so liegt darin weder eine Verweigerung des Anspruchs auf rechtliches Gehör noch kann darin ein überspitzter Formalismus gesehen werden ( BGE 116 II 745 E. 2b S. 748; BGE 113 Ia 225 E. 1b S. 228; Urteile 1C_89/2007 vom 13. Juli 2007, E. 3.1, und 5P.405/2000 vom 8. Februar 2001, E. 3c).</w:t>
      </w:r>
    </w:p>
    <w:p>
      <w:r>
        <w:rPr>
          <w:b/>
        </w:rPr>
        <w:t>E. 2.4.3</w:t>
      </w:r>
    </w:p>
    <w:p>
      <w:r>
        <w:t>Im vorliegenden Fall sind die Beschwerdeführer anwaltlich vertreten. Ihrem Rechtsvertreter mussten die Begründungsanforderungen nach Art. 42 Abs. 2 und 106 Abs. 2 BGG bekannt sein, zumal diese mit den bisherigen Begründungsanforderungen nach Art. 108 OG für die Verwaltungsgerichtsbeschwerde und Art. 90 OG für die staatsrechtliche Beschwerde übereinstimmen. Der Rechtsvertreter der Beschwerdeführer war im Übrigen schon vom Verwaltungsgericht gerügt worden, weil er bereits im verwaltungsrechtlichen Verfahren eine weitgehend mit der Rekursschrift übereinstimmende Beschwerdeschrift eingereicht hatte, ohne auf die Erwägungen der Baurekurskommission einzugehen. Wenn er vor Bundesgericht erneut eine gleichlautende Beschwerdeschrift einreichte, ohne sich im Geringsten mit dem ausführlich begründeten Entscheid des Verwaltungsgerichts auseinanderzusetzen, so läuft dies auf ein rechtsmissbräuchliches Verhalten hinaus. Insofern wäre auch nach Art. 42 Abs. 7 BGG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